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A61C" w14:textId="192CF9E3" w:rsidR="00DC2B99" w:rsidRDefault="00DC2B99" w:rsidP="00DC2B99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noProof/>
          <w:sz w:val="24"/>
          <w:szCs w:val="24"/>
        </w:rPr>
        <w:drawing>
          <wp:inline distT="0" distB="0" distL="0" distR="0" wp14:anchorId="351EB429" wp14:editId="5EC726EB">
            <wp:extent cx="1470660" cy="840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TA~graphicRGB~digital 5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18" cy="86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3E3F" w14:textId="77777777" w:rsidR="006923E1" w:rsidRDefault="006923E1" w:rsidP="00DC2B99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4"/>
          <w:szCs w:val="24"/>
        </w:rPr>
      </w:pPr>
    </w:p>
    <w:p w14:paraId="43B20B37" w14:textId="5C9A5A7F" w:rsidR="00DC2B99" w:rsidRDefault="00DC2B99" w:rsidP="00DC2B99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4"/>
          <w:szCs w:val="24"/>
        </w:rPr>
        <w:t>BRITISH LADIES’ MASTERS SINGLES CHAMPIONSHIP 2020</w:t>
      </w:r>
    </w:p>
    <w:p w14:paraId="7B156C09" w14:textId="77777777" w:rsidR="006923E1" w:rsidRDefault="006923E1" w:rsidP="006923E1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0"/>
          <w:szCs w:val="20"/>
        </w:rPr>
      </w:pPr>
    </w:p>
    <w:p w14:paraId="0A104209" w14:textId="4526C30C" w:rsidR="006923E1" w:rsidRDefault="00DC2B99" w:rsidP="006923E1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0"/>
          <w:szCs w:val="20"/>
        </w:rPr>
      </w:pPr>
      <w:r>
        <w:rPr>
          <w:rFonts w:ascii="ArialMT,Bold" w:hAnsi="ArialMT,Bold" w:cs="ArialMT,Bold"/>
          <w:b/>
          <w:bCs/>
          <w:sz w:val="20"/>
          <w:szCs w:val="20"/>
        </w:rPr>
        <w:t>Sponsored by</w:t>
      </w:r>
    </w:p>
    <w:p w14:paraId="20652595" w14:textId="09F54DE1" w:rsidR="00DC2B99" w:rsidRDefault="006923E1" w:rsidP="006923E1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0"/>
          <w:szCs w:val="20"/>
        </w:rPr>
      </w:pPr>
      <w:r>
        <w:rPr>
          <w:rFonts w:ascii="ArialMT,Bold" w:hAnsi="ArialMT,Bold" w:cs="ArialMT,Bold"/>
          <w:b/>
          <w:bCs/>
          <w:sz w:val="20"/>
          <w:szCs w:val="20"/>
        </w:rPr>
        <w:t xml:space="preserve">  </w:t>
      </w:r>
      <w:r>
        <w:rPr>
          <w:rFonts w:ascii="ArialMT,Bold" w:hAnsi="ArialMT,Bold" w:cs="ArialMT,Bold"/>
          <w:b/>
          <w:bCs/>
          <w:sz w:val="20"/>
          <w:szCs w:val="20"/>
        </w:rPr>
        <w:tab/>
        <w:t xml:space="preserve">            </w:t>
      </w:r>
      <w:r w:rsidRPr="006923E1">
        <w:rPr>
          <w:noProof/>
        </w:rPr>
        <w:drawing>
          <wp:inline distT="0" distB="0" distL="0" distR="0" wp14:anchorId="5CC6CD0B" wp14:editId="5A471381">
            <wp:extent cx="1794510" cy="5601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25" cy="5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,Bold" w:hAnsi="ArialMT,Bold" w:cs="ArialMT,Bold"/>
          <w:b/>
          <w:bCs/>
          <w:sz w:val="20"/>
          <w:szCs w:val="20"/>
        </w:rPr>
        <w:t xml:space="preserve"> </w:t>
      </w:r>
      <w:r>
        <w:rPr>
          <w:rFonts w:ascii="ArialMT,Bold" w:hAnsi="ArialMT,Bold" w:cs="ArialMT,Bold"/>
          <w:b/>
          <w:bCs/>
          <w:sz w:val="20"/>
          <w:szCs w:val="20"/>
        </w:rPr>
        <w:tab/>
      </w:r>
      <w:r>
        <w:rPr>
          <w:rFonts w:ascii="ArialMT,Bold" w:hAnsi="ArialMT,Bold" w:cs="ArialMT,Bold"/>
          <w:b/>
          <w:bCs/>
          <w:sz w:val="20"/>
          <w:szCs w:val="20"/>
        </w:rPr>
        <w:tab/>
      </w:r>
      <w:r>
        <w:rPr>
          <w:rFonts w:ascii="ArialMT,Bold" w:hAnsi="ArialMT,Bold" w:cs="ArialMT,Bold"/>
          <w:b/>
          <w:bCs/>
          <w:sz w:val="20"/>
          <w:szCs w:val="20"/>
        </w:rPr>
        <w:tab/>
        <w:t xml:space="preserve"> </w:t>
      </w:r>
      <w:r w:rsidRPr="006923E1">
        <w:rPr>
          <w:noProof/>
        </w:rPr>
        <w:drawing>
          <wp:inline distT="0" distB="0" distL="0" distR="0" wp14:anchorId="288760F3" wp14:editId="341048B6">
            <wp:extent cx="1173480" cy="834258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66" cy="8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8E7B" w14:textId="77777777" w:rsidR="00DC2B99" w:rsidRDefault="00DC2B99" w:rsidP="006923E1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sz w:val="20"/>
          <w:szCs w:val="20"/>
        </w:rPr>
      </w:pPr>
      <w:r>
        <w:rPr>
          <w:rFonts w:ascii="ArialMT,Bold" w:hAnsi="ArialMT,Bold" w:cs="ArialMT,Bold"/>
          <w:b/>
          <w:bCs/>
          <w:sz w:val="20"/>
          <w:szCs w:val="20"/>
        </w:rPr>
        <w:t>AND TWO ANONYMOUS SPONSORS</w:t>
      </w:r>
    </w:p>
    <w:p w14:paraId="3DC4DDF6" w14:textId="77777777" w:rsidR="006923E1" w:rsidRDefault="006923E1" w:rsidP="00DC2B99">
      <w:pPr>
        <w:jc w:val="center"/>
        <w:rPr>
          <w:rFonts w:ascii="ArialMT,Bold" w:hAnsi="ArialMT,Bold" w:cs="ArialMT,Bold"/>
          <w:b/>
          <w:bCs/>
          <w:sz w:val="20"/>
          <w:szCs w:val="20"/>
        </w:rPr>
      </w:pPr>
    </w:p>
    <w:p w14:paraId="51F9645F" w14:textId="22B96783" w:rsidR="00D73164" w:rsidRPr="006923E1" w:rsidRDefault="00DC2B99" w:rsidP="00DC2B99">
      <w:pPr>
        <w:jc w:val="center"/>
        <w:rPr>
          <w:rFonts w:cstheme="minorHAnsi"/>
          <w:b/>
          <w:bCs/>
          <w:sz w:val="32"/>
          <w:szCs w:val="32"/>
        </w:rPr>
      </w:pPr>
      <w:r w:rsidRPr="006923E1">
        <w:rPr>
          <w:rFonts w:cstheme="minorHAnsi"/>
          <w:b/>
          <w:bCs/>
          <w:sz w:val="32"/>
          <w:szCs w:val="32"/>
        </w:rPr>
        <w:t>Friday 28 February to Sunday 1 March 2020</w:t>
      </w:r>
    </w:p>
    <w:p w14:paraId="4F927412" w14:textId="77777777" w:rsidR="006923E1" w:rsidRDefault="00DC2B99" w:rsidP="00DC2B99">
      <w:pPr>
        <w:jc w:val="center"/>
        <w:rPr>
          <w:rFonts w:cstheme="minorHAnsi"/>
          <w:b/>
          <w:bCs/>
          <w:sz w:val="28"/>
          <w:szCs w:val="28"/>
        </w:rPr>
      </w:pPr>
      <w:r w:rsidRPr="006923E1">
        <w:rPr>
          <w:rFonts w:cstheme="minorHAnsi"/>
          <w:b/>
          <w:bCs/>
          <w:sz w:val="28"/>
          <w:szCs w:val="28"/>
        </w:rPr>
        <w:t xml:space="preserve">held at </w:t>
      </w:r>
    </w:p>
    <w:p w14:paraId="77B182DF" w14:textId="1B3A3C3F" w:rsidR="00DC2B99" w:rsidRPr="006923E1" w:rsidRDefault="00DC2B99" w:rsidP="00DC2B99">
      <w:pPr>
        <w:jc w:val="center"/>
        <w:rPr>
          <w:rFonts w:cstheme="minorHAnsi"/>
          <w:b/>
          <w:bCs/>
          <w:sz w:val="28"/>
          <w:szCs w:val="28"/>
        </w:rPr>
      </w:pPr>
      <w:r w:rsidRPr="006923E1">
        <w:rPr>
          <w:rFonts w:cstheme="minorHAnsi"/>
          <w:b/>
          <w:bCs/>
          <w:sz w:val="28"/>
          <w:szCs w:val="28"/>
        </w:rPr>
        <w:t>Manchester Tennis and Racquet Club</w:t>
      </w:r>
    </w:p>
    <w:p w14:paraId="6152E193" w14:textId="328E945C" w:rsidR="00DC2B99" w:rsidRDefault="00DC2B99" w:rsidP="00DC2B99">
      <w:pPr>
        <w:jc w:val="center"/>
      </w:pPr>
    </w:p>
    <w:p w14:paraId="642D968C" w14:textId="77777777" w:rsidR="00B44557" w:rsidRDefault="00CE55A4" w:rsidP="00CE55A4">
      <w:r>
        <w:t>The Masters Tournament is open to those over 40 years of age and this year it attracted a small but very enthusiastic entry. We were made most welcome by the Manchester Tennis and Racquets Club when most of us had travelled from the south</w:t>
      </w:r>
      <w:r w:rsidR="00B44557">
        <w:t>. Sara travelled considerably further to be back at her previous home club and Tiff was the ‘local’ player.</w:t>
      </w:r>
    </w:p>
    <w:p w14:paraId="22DE5D13" w14:textId="6F680F40" w:rsidR="00CE55A4" w:rsidRDefault="00EC7208" w:rsidP="00CE55A4">
      <w:r>
        <w:t xml:space="preserve">The format this year was slightly different with the aim to ensure there was plenty of tennis regardless of ability. </w:t>
      </w:r>
      <w:r w:rsidR="00B44557">
        <w:t xml:space="preserve">Play started on Friday afternoon with a handful of group matches and the rest of the group matches were played throughout Saturday. </w:t>
      </w:r>
      <w:r>
        <w:t xml:space="preserve">There were no big surprises with Penny Lumley easily winning Group A and Tiffany Fielden Winning Group B. </w:t>
      </w:r>
    </w:p>
    <w:p w14:paraId="22394888" w14:textId="061DFB3F" w:rsidR="00855323" w:rsidRDefault="00D829B7" w:rsidP="00CE55A4">
      <w:r>
        <w:t>On Saturday evening the Manchester club continued to demonstrate that their reputation for excellent hospitality is well deserved. We all enjoyed a sumptuous dinner hosted by the club President</w:t>
      </w:r>
      <w:r w:rsidR="00855323">
        <w:t>. We were also joined by guests and a particular mention should go to Shelagh Owens for travelling such a long way to offer her support to the Ladies.</w:t>
      </w:r>
    </w:p>
    <w:p w14:paraId="42A540BF" w14:textId="39A3357A" w:rsidR="00855323" w:rsidRDefault="00855323" w:rsidP="00CE55A4">
      <w:r>
        <w:t xml:space="preserve">Sunday morning started with Penny </w:t>
      </w:r>
      <w:r w:rsidR="0075727F">
        <w:t>Lumley taking on Sarah Parsons</w:t>
      </w:r>
      <w:r w:rsidR="009321A0">
        <w:t xml:space="preserve"> in the first semi-final</w:t>
      </w:r>
      <w:r w:rsidR="0075727F">
        <w:t xml:space="preserve">. As </w:t>
      </w:r>
      <w:proofErr w:type="gramStart"/>
      <w:r w:rsidR="0075727F">
        <w:t>expected</w:t>
      </w:r>
      <w:proofErr w:type="gramEnd"/>
      <w:r w:rsidR="0075727F">
        <w:t xml:space="preserve"> we </w:t>
      </w:r>
      <w:r w:rsidR="009321A0">
        <w:t>were lucky to observe</w:t>
      </w:r>
      <w:r w:rsidR="0075727F">
        <w:t xml:space="preserve"> top class tennis</w:t>
      </w:r>
      <w:r w:rsidR="009321A0">
        <w:t>,</w:t>
      </w:r>
      <w:r w:rsidR="0075727F">
        <w:t xml:space="preserve"> as Penny consistently played shots tightly into the corners and frequently targeted the tambour. Sarah fought valiantly, </w:t>
      </w:r>
      <w:proofErr w:type="spellStart"/>
      <w:r w:rsidR="0075727F">
        <w:t>layed</w:t>
      </w:r>
      <w:proofErr w:type="spellEnd"/>
      <w:r w:rsidR="0075727F">
        <w:t xml:space="preserve"> some good chases and managed to return to the service end often.  After forty minutes Penny </w:t>
      </w:r>
      <w:r w:rsidR="009321A0">
        <w:t>had reached her goal beating Sarah 6/0 6/0.</w:t>
      </w:r>
    </w:p>
    <w:p w14:paraId="45476E79" w14:textId="640E949B" w:rsidR="009321A0" w:rsidRDefault="009321A0" w:rsidP="00CE55A4">
      <w:r>
        <w:t xml:space="preserve">The second semi-final saw Tiffany Fielden play Mary Joyner. Tiff started strongly and took the first set 6/2. Mary was not going to roll over easily and had been improving throughout her previous matches. In the second set Mary upped her game and was playing considerably better than </w:t>
      </w:r>
      <w:r w:rsidR="003A31B7">
        <w:t>her handicap. Mary had a 3/0 lead before Tiff managed to successfully adjust her game and win the next four games. Mary responded by hitting the grille and delivering two winning serves in a row to level it at 4/4. This was turning into a nail</w:t>
      </w:r>
      <w:r w:rsidR="00710B9A">
        <w:t>-</w:t>
      </w:r>
      <w:r w:rsidR="003A31B7">
        <w:t>biter as the players kept fighting back</w:t>
      </w:r>
      <w:r w:rsidR="00755B12">
        <w:t xml:space="preserve"> and both players concentrated on stretching their opponent </w:t>
      </w:r>
      <w:r w:rsidR="003A31B7">
        <w:t>taking it to 5/5.</w:t>
      </w:r>
      <w:r w:rsidR="00755B12">
        <w:t xml:space="preserve"> In the next game Tiff concentrated on </w:t>
      </w:r>
      <w:r w:rsidR="00755B12">
        <w:lastRenderedPageBreak/>
        <w:t>placing shots low across the net into the corners and demonstrated the depth of her experience to take the set and win the match 6/2 6/5.</w:t>
      </w:r>
    </w:p>
    <w:p w14:paraId="6445B3F1" w14:textId="6115123E" w:rsidR="00755B12" w:rsidRDefault="00755B12" w:rsidP="00CE55A4"/>
    <w:p w14:paraId="0069D1BC" w14:textId="248B3684" w:rsidR="00755B12" w:rsidRDefault="00755B12" w:rsidP="00CE55A4">
      <w:r>
        <w:t xml:space="preserve">The final </w:t>
      </w:r>
      <w:r w:rsidR="00726767">
        <w:t>was a demonstration of Penny’s skill and consistency. Tiff was trying to push the ball away from Penny, but everything just kept coming back, putting Tiff under pressure. Penny only made a handful of mistakes in the whole match</w:t>
      </w:r>
      <w:r w:rsidR="00710B9A">
        <w:t>, winning 6/0 6/0.</w:t>
      </w:r>
    </w:p>
    <w:p w14:paraId="0BB72F50" w14:textId="454A558A" w:rsidR="00710B9A" w:rsidRDefault="00710B9A" w:rsidP="00CE55A4">
      <w:r>
        <w:t>Congratulations to Penny who retained her title and won the trophy for the seventh time.</w:t>
      </w:r>
    </w:p>
    <w:p w14:paraId="4FC0629A" w14:textId="77777777" w:rsidR="00C750D0" w:rsidRDefault="00C750D0" w:rsidP="00CE55A4"/>
    <w:p w14:paraId="695A492A" w14:textId="0DE27FB7" w:rsidR="0024650F" w:rsidRDefault="0024650F" w:rsidP="00CE55A4">
      <w:r>
        <w:t xml:space="preserve">There was also a Plate final between Candida Nicholls and Linda Sheraton-Davis. Candida </w:t>
      </w:r>
      <w:proofErr w:type="gramStart"/>
      <w:r>
        <w:t>played  better</w:t>
      </w:r>
      <w:proofErr w:type="gramEnd"/>
      <w:r>
        <w:t xml:space="preserve"> than she had through her previous matches, with mistakes few and far between. In the first set Linda was </w:t>
      </w:r>
      <w:r w:rsidR="00D73164">
        <w:t>placing the ball well, but</w:t>
      </w:r>
      <w:r>
        <w:t xml:space="preserve"> Candida ma</w:t>
      </w:r>
      <w:r w:rsidR="00D73164">
        <w:t>de</w:t>
      </w:r>
      <w:r>
        <w:t xml:space="preserve"> hardly any mistakes and produ</w:t>
      </w:r>
      <w:r w:rsidR="00D73164">
        <w:t>ced</w:t>
      </w:r>
      <w:r>
        <w:t xml:space="preserve"> challenging serves. Candida held the service end much of the time and took the first set 6/0</w:t>
      </w:r>
      <w:r w:rsidR="00D73164">
        <w:t xml:space="preserve">. In the second set play was more even and there were some wonderful rallies. Candida targeted Linda’s backhand, whist Linda hit good shots to the </w:t>
      </w:r>
      <w:proofErr w:type="gramStart"/>
      <w:r w:rsidR="00D73164">
        <w:t>tambour</w:t>
      </w:r>
      <w:proofErr w:type="gramEnd"/>
      <w:r w:rsidR="00D73164">
        <w:t xml:space="preserve"> but Candida was returning </w:t>
      </w:r>
      <w:r w:rsidR="00C750D0">
        <w:t>well and took the second set to win the match 6/0 6/1.</w:t>
      </w:r>
    </w:p>
    <w:p w14:paraId="47BE5916" w14:textId="018A0D6D" w:rsidR="00845151" w:rsidRDefault="00845151" w:rsidP="00CE55A4">
      <w:pPr>
        <w:rPr>
          <w:i/>
          <w:iCs/>
        </w:rPr>
      </w:pPr>
      <w:r w:rsidRPr="00845151">
        <w:rPr>
          <w:i/>
          <w:iCs/>
        </w:rPr>
        <w:t xml:space="preserve">Huge thanks to The Manchester Tennis and Racquet Club for hosting this excellent tournament, especially the professionals Steve </w:t>
      </w:r>
      <w:proofErr w:type="spellStart"/>
      <w:r w:rsidRPr="00845151">
        <w:rPr>
          <w:i/>
          <w:iCs/>
        </w:rPr>
        <w:t>Brockenshaw</w:t>
      </w:r>
      <w:proofErr w:type="spellEnd"/>
      <w:r w:rsidRPr="00845151">
        <w:rPr>
          <w:i/>
          <w:iCs/>
        </w:rPr>
        <w:t xml:space="preserve"> and Darren Long for marking. We’re grateful to our sponsors </w:t>
      </w:r>
      <w:proofErr w:type="spellStart"/>
      <w:r w:rsidRPr="00845151">
        <w:rPr>
          <w:i/>
          <w:iCs/>
        </w:rPr>
        <w:t>Wineflow</w:t>
      </w:r>
      <w:proofErr w:type="spellEnd"/>
      <w:r w:rsidRPr="00845151">
        <w:rPr>
          <w:i/>
          <w:iCs/>
        </w:rPr>
        <w:t xml:space="preserve"> and Pol Roger, Stella and her team for providing delicious food over the weekend, and to Linda Sheraton-Davis who organised the tournament</w:t>
      </w:r>
      <w:r w:rsidR="0024650F">
        <w:rPr>
          <w:i/>
          <w:iCs/>
        </w:rPr>
        <w:t>.</w:t>
      </w:r>
    </w:p>
    <w:p w14:paraId="2831C440" w14:textId="77777777" w:rsidR="0024650F" w:rsidRPr="00845151" w:rsidRDefault="0024650F" w:rsidP="00CE55A4">
      <w:pPr>
        <w:rPr>
          <w:i/>
          <w:iCs/>
        </w:rPr>
      </w:pPr>
    </w:p>
    <w:sectPr w:rsidR="0024650F" w:rsidRPr="0084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99"/>
    <w:rsid w:val="00160255"/>
    <w:rsid w:val="0024650F"/>
    <w:rsid w:val="002A7553"/>
    <w:rsid w:val="00324966"/>
    <w:rsid w:val="003A31B7"/>
    <w:rsid w:val="006923E1"/>
    <w:rsid w:val="00710B9A"/>
    <w:rsid w:val="00726767"/>
    <w:rsid w:val="00755B12"/>
    <w:rsid w:val="0075727F"/>
    <w:rsid w:val="007F7298"/>
    <w:rsid w:val="00824171"/>
    <w:rsid w:val="00845151"/>
    <w:rsid w:val="00855323"/>
    <w:rsid w:val="009321A0"/>
    <w:rsid w:val="00B44557"/>
    <w:rsid w:val="00C750D0"/>
    <w:rsid w:val="00CE55A4"/>
    <w:rsid w:val="00D73164"/>
    <w:rsid w:val="00D829B7"/>
    <w:rsid w:val="00DC2B99"/>
    <w:rsid w:val="00EC7208"/>
    <w:rsid w:val="00F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31F"/>
  <w15:chartTrackingRefBased/>
  <w15:docId w15:val="{FC947357-6A60-4DB9-ABF7-DEC41FA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0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nicholls</dc:creator>
  <cp:keywords/>
  <dc:description/>
  <cp:lastModifiedBy>candida nicholls</cp:lastModifiedBy>
  <cp:revision>2</cp:revision>
  <dcterms:created xsi:type="dcterms:W3CDTF">2021-05-16T11:28:00Z</dcterms:created>
  <dcterms:modified xsi:type="dcterms:W3CDTF">2021-05-16T11:28:00Z</dcterms:modified>
</cp:coreProperties>
</file>